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Sample Press Release</w:t>
      </w:r>
      <w:r w:rsidDel="00000000" w:rsidR="00000000" w:rsidRPr="00000000">
        <w:rPr>
          <w:rtl w:val="0"/>
        </w:rPr>
      </w:r>
    </w:p>
    <w:p w:rsidR="00000000" w:rsidDel="00000000" w:rsidP="00000000" w:rsidRDefault="00000000" w:rsidRPr="00000000" w14:paraId="00000002">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widowControl w:val="0"/>
        <w:jc w:val="center"/>
        <w:rPr>
          <w:rFonts w:ascii="Arial" w:cs="Arial" w:eastAsia="Arial" w:hAnsi="Arial"/>
          <w:i w:val="1"/>
          <w:iCs w:val="1"/>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i w:val="1"/>
          <w:iCs w:val="1"/>
          <w:sz w:val="20"/>
          <w:szCs w:val="20"/>
          <w:rtl w:val="0"/>
        </w:rPr>
        <w:t xml:space="preserve">Print your press release on your sponsoring organization's letterhead </w:t>
      </w:r>
    </w:p>
    <w:p w:rsidR="00000000" w:rsidDel="00000000" w:rsidP="00000000" w:rsidRDefault="00000000" w:rsidRPr="00000000" w14:paraId="00000004">
      <w:pPr>
        <w:widowControl w:val="0"/>
        <w:jc w:val="center"/>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or include name, address, and phone number of organization at top of release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5">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widowControl w:val="0"/>
        <w:tabs>
          <w:tab w:val="right" w:leader="none" w:pos="9360"/>
        </w:tabs>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7">
      <w:pPr>
        <w:widowControl w:val="0"/>
        <w:tabs>
          <w:tab w:val="right" w:leader="none" w:pos="9360"/>
        </w:tabs>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For Immediate Release</w:t>
      </w:r>
      <w:r w:rsidDel="00000000" w:rsidR="00000000" w:rsidRPr="00000000">
        <w:rPr>
          <w:rFonts w:ascii="Arial" w:cs="Arial" w:eastAsia="Arial" w:hAnsi="Arial"/>
          <w:sz w:val="20"/>
          <w:szCs w:val="20"/>
          <w:rtl w:val="0"/>
        </w:rPr>
        <w:tab/>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THE [SPONSORING ORGANIZATION] HOSTS MONTANA CONVERSATIONS, Our Montana Voices “Frontiers of Memory: Montana Before Statehood” WITH Austin Haney</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[City–date]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rPr>
          <w:rFonts w:ascii="Arial" w:cs="Arial" w:eastAsia="Arial" w:hAnsi="Arial"/>
          <w:sz w:val="20"/>
          <w:szCs w:val="20"/>
        </w:rPr>
      </w:pPr>
      <w:r w:rsidDel="00000000" w:rsidR="00000000" w:rsidRPr="00000000">
        <w:rPr>
          <w:rFonts w:ascii="Arial" w:cs="Arial" w:eastAsia="Arial" w:hAnsi="Arial"/>
          <w:sz w:val="20"/>
          <w:szCs w:val="20"/>
          <w:rtl w:val="0"/>
        </w:rPr>
        <w:t xml:space="preserve">The (</w:t>
      </w:r>
      <w:r w:rsidDel="00000000" w:rsidR="00000000" w:rsidRPr="00000000">
        <w:rPr>
          <w:rFonts w:ascii="Arial" w:cs="Arial" w:eastAsia="Arial" w:hAnsi="Arial"/>
          <w:sz w:val="20"/>
          <w:szCs w:val="20"/>
          <w:u w:val="single"/>
          <w:rtl w:val="0"/>
        </w:rPr>
        <w:t xml:space="preserve">your sponsoring organization</w:t>
      </w:r>
      <w:r w:rsidDel="00000000" w:rsidR="00000000" w:rsidRPr="00000000">
        <w:rPr>
          <w:rFonts w:ascii="Arial" w:cs="Arial" w:eastAsia="Arial" w:hAnsi="Arial"/>
          <w:sz w:val="20"/>
          <w:szCs w:val="20"/>
          <w:rtl w:val="0"/>
        </w:rPr>
        <w:t xml:space="preserve">) hosts Montana Conversation “Frontiers of Memory: Montana Before Statehood”</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with Austin Haney on (</w:t>
      </w:r>
      <w:r w:rsidDel="00000000" w:rsidR="00000000" w:rsidRPr="00000000">
        <w:rPr>
          <w:rFonts w:ascii="Arial" w:cs="Arial" w:eastAsia="Arial" w:hAnsi="Arial"/>
          <w:sz w:val="20"/>
          <w:szCs w:val="20"/>
          <w:u w:val="single"/>
          <w:rtl w:val="0"/>
        </w:rPr>
        <w:t xml:space="preserve">date of program</w:t>
      </w:r>
      <w:r w:rsidDel="00000000" w:rsidR="00000000" w:rsidRPr="00000000">
        <w:rPr>
          <w:rFonts w:ascii="Arial" w:cs="Arial" w:eastAsia="Arial" w:hAnsi="Arial"/>
          <w:sz w:val="20"/>
          <w:szCs w:val="20"/>
          <w:rtl w:val="0"/>
        </w:rPr>
        <w:t xml:space="preserve">). The program is at (</w:t>
      </w:r>
      <w:r w:rsidDel="00000000" w:rsidR="00000000" w:rsidRPr="00000000">
        <w:rPr>
          <w:rFonts w:ascii="Arial" w:cs="Arial" w:eastAsia="Arial" w:hAnsi="Arial"/>
          <w:sz w:val="20"/>
          <w:szCs w:val="20"/>
          <w:u w:val="single"/>
          <w:rtl w:val="0"/>
        </w:rPr>
        <w:t xml:space="preserve">location</w:t>
      </w:r>
      <w:r w:rsidDel="00000000" w:rsidR="00000000" w:rsidRPr="00000000">
        <w:rPr>
          <w:rFonts w:ascii="Arial" w:cs="Arial" w:eastAsia="Arial" w:hAnsi="Arial"/>
          <w:sz w:val="20"/>
          <w:szCs w:val="20"/>
          <w:rtl w:val="0"/>
        </w:rPr>
        <w:t xml:space="preserve">) on (</w:t>
      </w:r>
      <w:r w:rsidDel="00000000" w:rsidR="00000000" w:rsidRPr="00000000">
        <w:rPr>
          <w:rFonts w:ascii="Arial" w:cs="Arial" w:eastAsia="Arial" w:hAnsi="Arial"/>
          <w:sz w:val="20"/>
          <w:szCs w:val="20"/>
          <w:u w:val="single"/>
          <w:rtl w:val="0"/>
        </w:rPr>
        <w:t xml:space="preserve">time of program</w:t>
      </w:r>
      <w:r w:rsidDel="00000000" w:rsidR="00000000" w:rsidRPr="00000000">
        <w:rPr>
          <w:rFonts w:ascii="Arial" w:cs="Arial" w:eastAsia="Arial" w:hAnsi="Arial"/>
          <w:sz w:val="20"/>
          <w:szCs w:val="20"/>
          <w:rtl w:val="0"/>
        </w:rPr>
        <w:t xml:space="preserve">). The presentation is free and open to the public. Funding for the Montana Conversations program is provided by Humanities Montana through grants from the Historical Society/Montana 250 Commission, the National Endowment for the Humanities, Montana’s Cultural Trust, and private donations.</w:t>
      </w:r>
      <w:r w:rsidDel="00000000" w:rsidR="00000000" w:rsidRPr="00000000">
        <w:rPr>
          <w:rFonts w:ascii="Arial" w:cs="Arial" w:eastAsia="Arial" w:hAnsi="Arial"/>
          <w:color w:val="000000"/>
          <w:sz w:val="20"/>
          <w:szCs w:val="20"/>
          <w:rtl w:val="0"/>
        </w:rPr>
        <w:t xml:space="preserve"> We are funded in part by coal severance taxes paid based upon coal mined in Montana and deposited in Montana’s cultural and aesthetic projects trust fund.</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Our Montana Voices speaker Austin Haney </w:t>
      </w: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explores Montana’s late 19th-century history, drawing parallels between the state’s formative years and its rapidly changing present.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ee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rPr>
          <w:rFonts w:ascii="Arial" w:cs="Arial" w:eastAsia="Arial" w:hAnsi="Arial"/>
          <w:sz w:val="20"/>
          <w:szCs w:val="20"/>
        </w:rPr>
      </w:pPr>
      <w:r w:rsidDel="00000000" w:rsidR="00000000" w:rsidRPr="00000000">
        <w:rPr>
          <w:rFonts w:ascii="Arial" w:cs="Arial" w:eastAsia="Arial" w:hAnsi="Arial"/>
          <w:sz w:val="20"/>
          <w:szCs w:val="20"/>
          <w:rtl w:val="0"/>
        </w:rPr>
        <w:t xml:space="preserve">The 25 years spanning the creation of Montana Territory in 1864 and statehood in 1889 was a chaotic quarter century filled with some of the biggest changes, the most memorable events, and most colorful characters Montana has known. In this program, we’ll journey across the territory and examine some of the stories instrumental in shaping the Montana we know today, and their echoes in the fast-changing future of our shared home.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333333"/>
          <w:sz w:val="20"/>
          <w:szCs w:val="20"/>
          <w:highlight w:val="white"/>
          <w:u w:val="none"/>
          <w:vertAlign w:val="baseline"/>
        </w:rPr>
      </w:pPr>
      <w:r w:rsidDel="00000000" w:rsidR="00000000" w:rsidRPr="00000000">
        <w:rPr>
          <w:rtl w:val="0"/>
        </w:rPr>
      </w:r>
    </w:p>
    <w:p w:rsidR="00000000" w:rsidDel="00000000" w:rsidP="00000000" w:rsidRDefault="00000000" w:rsidRPr="00000000" w14:paraId="00000013">
      <w:pPr>
        <w:rPr>
          <w:rFonts w:ascii="Arial" w:cs="Arial" w:eastAsia="Arial" w:hAnsi="Arial"/>
          <w:sz w:val="20"/>
          <w:szCs w:val="20"/>
        </w:rPr>
      </w:pPr>
      <w:r w:rsidDel="00000000" w:rsidR="00000000" w:rsidRPr="00000000">
        <w:rPr>
          <w:rFonts w:ascii="Arial" w:cs="Arial" w:eastAsia="Arial" w:hAnsi="Arial"/>
          <w:sz w:val="20"/>
          <w:szCs w:val="20"/>
          <w:rtl w:val="0"/>
        </w:rPr>
        <w:t xml:space="preserve">Austin Haney believes Montana has some of the most poignant and powerful stories anywhere, and has had a passion for sharing them since he was a child, fostered by a history-loving grandfather who took him to every historical site they could visit. He has since worked in heritage interpretation professionally and as a guest speaker for a variety of private, state, and federal institutions like the National Park Service, Blaine County Museum, Fort Missoula and many more. Currently, he is the Education and Programming Director at the C.M Russell Museum in Great Falls.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For more information, please call [sponsoring organization] at [phone number].</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Contact person: [project organizer and phone number]</w:t>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 w:customStyle="1">
    <w:name w:val="Body"/>
    <w:rsid w:val="00165BD3"/>
    <w:rPr>
      <w:rFonts w:ascii="Helvetica" w:cs="Times New Roman" w:eastAsia="ヒラギノ角ゴ Pro W3" w:hAnsi="Helvetica"/>
      <w:color w:val="000000"/>
      <w:kern w:val="0"/>
      <w:szCs w:val="20"/>
    </w:rPr>
  </w:style>
  <w:style w:type="paragraph" w:styleId="NormalWeb">
    <w:name w:val="Normal (Web)"/>
    <w:basedOn w:val="Normal"/>
    <w:uiPriority w:val="99"/>
    <w:unhideWhenUsed w:val="1"/>
    <w:rsid w:val="003357E0"/>
    <w:pPr>
      <w:spacing w:after="100" w:afterAutospacing="1" w:before="100" w:beforeAutospacing="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QsYFslQ6apxAgipc38gZsBKGEw==">CgMxLjA4AHIhMVlXSDlXMVJxMGJPTDNFT3pNOHBpbW1HOEpDdFB6WTNF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2026-02-12T22:51:00Z</dcterms:created>
  <dc:creator>Knight, John</dc:creator>
</cp:coreProperties>
</file>